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9"/>
        <w:rPr>
          <w:rFonts w:hint="eastAsia" w:ascii="仿宋_GB2312" w:hAnsi="仿宋_GB2312" w:eastAsia="仿宋_GB2312" w:cs="仿宋_GB2312"/>
          <w:spacing w:val="0"/>
          <w:kern w:val="2"/>
          <w:sz w:val="28"/>
          <w:szCs w:val="28"/>
          <w:highlight w:val="none"/>
          <w:lang w:val="en-US" w:eastAsia="zh-CN" w:bidi="ar-SA"/>
        </w:rPr>
      </w:pPr>
      <w:r>
        <w:rPr>
          <w:rFonts w:hint="eastAsia" w:ascii="仿宋_GB2312" w:hAnsi="仿宋_GB2312" w:eastAsia="仿宋_GB2312" w:cs="仿宋_GB2312"/>
          <w:spacing w:val="0"/>
          <w:kern w:val="2"/>
          <w:sz w:val="28"/>
          <w:szCs w:val="28"/>
          <w:highlight w:val="none"/>
          <w:lang w:val="en-US" w:eastAsia="zh-CN" w:bidi="ar-SA"/>
        </w:rPr>
        <w:t>.</w:t>
      </w:r>
      <w:bookmarkStart w:id="44" w:name="_GoBack"/>
      <w:r>
        <w:rPr>
          <w:rFonts w:hint="eastAsia" w:ascii="仿宋_GB2312" w:hAnsi="仿宋_GB2312" w:eastAsia="仿宋_GB2312" w:cs="仿宋_GB2312"/>
          <w:spacing w:val="0"/>
          <w:kern w:val="2"/>
          <w:sz w:val="28"/>
          <w:szCs w:val="28"/>
          <w:highlight w:val="none"/>
          <w:lang w:val="en-US" w:eastAsia="zh-CN" w:bidi="ar-SA"/>
        </w:rPr>
        <w:t>太平财产保险有限公司团体意外伤害保险附加猝死保险条款</w:t>
      </w:r>
    </w:p>
    <w:bookmarkEnd w:id="44"/>
    <w:p>
      <w:pPr>
        <w:pStyle w:val="4"/>
        <w:adjustRightInd w:val="0"/>
        <w:snapToGrid w:val="0"/>
        <w:spacing w:before="0" w:after="0" w:afterLines="0" w:line="360" w:lineRule="auto"/>
        <w:outlineLvl w:val="9"/>
        <w:rPr>
          <w:rFonts w:hint="eastAsia"/>
          <w:sz w:val="28"/>
          <w:szCs w:val="28"/>
        </w:rPr>
      </w:pPr>
      <w:bookmarkStart w:id="0" w:name="_Toc19046"/>
      <w:bookmarkStart w:id="1" w:name="_Toc8798_WPSOffice_Level2"/>
      <w:bookmarkStart w:id="2" w:name="_Toc3714"/>
      <w:bookmarkStart w:id="3" w:name="_Toc23042"/>
      <w:bookmarkStart w:id="4" w:name="_Toc5626"/>
      <w:bookmarkStart w:id="5" w:name="_Toc751528701"/>
      <w:bookmarkStart w:id="6" w:name="_Toc21109_WPSOffice_Level3"/>
      <w:bookmarkStart w:id="7" w:name="_Toc8267_WPSOffice_Level3"/>
      <w:r>
        <w:rPr>
          <w:rFonts w:hint="eastAsia"/>
          <w:sz w:val="28"/>
          <w:szCs w:val="28"/>
        </w:rPr>
        <w:t>太平财产保险有限公司</w:t>
      </w:r>
      <w:bookmarkEnd w:id="0"/>
      <w:bookmarkEnd w:id="1"/>
      <w:bookmarkEnd w:id="2"/>
      <w:bookmarkEnd w:id="3"/>
      <w:bookmarkEnd w:id="4"/>
      <w:bookmarkEnd w:id="5"/>
      <w:bookmarkEnd w:id="6"/>
      <w:bookmarkEnd w:id="7"/>
    </w:p>
    <w:p>
      <w:pPr>
        <w:pStyle w:val="4"/>
        <w:spacing w:before="0" w:beforeLines="0" w:after="0" w:afterLines="0" w:line="360" w:lineRule="auto"/>
        <w:outlineLvl w:val="9"/>
        <w:rPr>
          <w:rFonts w:hint="eastAsia" w:ascii="宋体" w:hAnsi="宋体"/>
          <w:szCs w:val="21"/>
        </w:rPr>
      </w:pPr>
      <w:bookmarkStart w:id="8" w:name="_Toc25555"/>
      <w:bookmarkStart w:id="9" w:name="_Toc26197"/>
      <w:bookmarkStart w:id="10" w:name="_Toc9295"/>
      <w:bookmarkStart w:id="11" w:name="_Toc29348"/>
      <w:bookmarkStart w:id="12" w:name="_Toc1591549700"/>
      <w:bookmarkStart w:id="13" w:name="_Toc5892_WPSOffice_Level3"/>
      <w:bookmarkStart w:id="14" w:name="_Toc19910_WPSOffice_Level2"/>
      <w:bookmarkStart w:id="15" w:name="_Toc23854_WPSOffice_Level3"/>
      <w:r>
        <w:rPr>
          <w:rFonts w:hint="eastAsia" w:ascii="宋体" w:hAnsi="宋体"/>
          <w:sz w:val="28"/>
          <w:szCs w:val="28"/>
          <w:lang w:val="en-US" w:eastAsia="zh-CN"/>
        </w:rPr>
        <w:t>团体意外伤害保险</w:t>
      </w:r>
      <w:r>
        <w:rPr>
          <w:rFonts w:hint="eastAsia" w:ascii="宋体" w:hAnsi="宋体"/>
          <w:sz w:val="28"/>
          <w:szCs w:val="28"/>
        </w:rPr>
        <w:t>附加猝死保险条款</w:t>
      </w:r>
      <w:bookmarkEnd w:id="8"/>
      <w:bookmarkEnd w:id="9"/>
      <w:bookmarkEnd w:id="10"/>
      <w:bookmarkEnd w:id="11"/>
      <w:bookmarkEnd w:id="12"/>
      <w:bookmarkEnd w:id="13"/>
      <w:bookmarkEnd w:id="14"/>
      <w:bookmarkEnd w:id="15"/>
    </w:p>
    <w:p>
      <w:pPr>
        <w:pStyle w:val="7"/>
        <w:spacing w:line="360" w:lineRule="auto"/>
        <w:jc w:val="center"/>
        <w:outlineLvl w:val="9"/>
        <w:rPr>
          <w:rFonts w:ascii="宋体" w:hAnsi="宋体"/>
          <w:szCs w:val="21"/>
        </w:rPr>
      </w:pPr>
      <w:bookmarkStart w:id="16" w:name="_Toc24093_WPSOffice_Level2"/>
      <w:bookmarkStart w:id="17" w:name="_Toc18058_WPSOffice_Level2"/>
      <w:bookmarkStart w:id="18" w:name="_Toc8499_WPSOffice_Level2"/>
      <w:bookmarkStart w:id="19" w:name="_Toc25930_WPSOffice_Level2"/>
      <w:r>
        <w:rPr>
          <w:rFonts w:hint="eastAsia" w:ascii="宋体" w:hAnsi="宋体"/>
          <w:szCs w:val="21"/>
        </w:rPr>
        <w:t>总则</w:t>
      </w:r>
      <w:bookmarkEnd w:id="16"/>
      <w:bookmarkEnd w:id="17"/>
      <w:bookmarkEnd w:id="18"/>
      <w:bookmarkEnd w:id="19"/>
    </w:p>
    <w:p>
      <w:pPr>
        <w:pStyle w:val="8"/>
        <w:spacing w:line="360" w:lineRule="auto"/>
        <w:ind w:left="0" w:leftChars="0" w:firstLine="422"/>
        <w:outlineLvl w:val="9"/>
        <w:rPr>
          <w:rFonts w:ascii="宋体" w:hAnsi="宋体"/>
          <w:szCs w:val="21"/>
        </w:rPr>
      </w:pPr>
      <w:r>
        <w:rPr>
          <w:rFonts w:hint="eastAsia" w:ascii="宋体" w:hAnsi="宋体"/>
          <w:b/>
          <w:szCs w:val="21"/>
        </w:rPr>
        <w:t>第一条</w:t>
      </w:r>
      <w:r>
        <w:rPr>
          <w:rFonts w:hint="eastAsia" w:ascii="宋体" w:hAnsi="宋体"/>
          <w:szCs w:val="21"/>
        </w:rPr>
        <w:t xml:space="preserve"> 本附加险合同可</w:t>
      </w:r>
      <w:r>
        <w:rPr>
          <w:rFonts w:ascii="宋体" w:hAnsi="宋体"/>
          <w:szCs w:val="21"/>
        </w:rPr>
        <w:t>附加于太平财产保险有限公司</w:t>
      </w:r>
      <w:r>
        <w:rPr>
          <w:rFonts w:hint="eastAsia" w:ascii="宋体" w:hAnsi="宋体"/>
          <w:szCs w:val="21"/>
        </w:rPr>
        <w:t>相关</w:t>
      </w:r>
      <w:r>
        <w:rPr>
          <w:rFonts w:hint="eastAsia" w:ascii="宋体" w:hAnsi="宋体"/>
          <w:szCs w:val="21"/>
          <w:lang w:val="en-US" w:eastAsia="zh-CN"/>
        </w:rPr>
        <w:t>团体</w:t>
      </w:r>
      <w:r>
        <w:rPr>
          <w:rFonts w:hint="eastAsia" w:ascii="宋体" w:hAnsi="宋体"/>
          <w:szCs w:val="21"/>
        </w:rPr>
        <w:t>意外伤害保险主险合同</w:t>
      </w:r>
      <w:r>
        <w:rPr>
          <w:rFonts w:ascii="宋体" w:hAnsi="宋体"/>
          <w:szCs w:val="21"/>
        </w:rPr>
        <w:t>（以</w:t>
      </w:r>
      <w:r>
        <w:rPr>
          <w:rFonts w:hint="eastAsia" w:ascii="宋体" w:hAnsi="宋体"/>
          <w:szCs w:val="21"/>
        </w:rPr>
        <w:t>下简称“主险合同”）,</w:t>
      </w:r>
      <w:r>
        <w:rPr>
          <w:rFonts w:ascii="宋体" w:hAnsi="宋体"/>
          <w:szCs w:val="21"/>
        </w:rPr>
        <w:t>投保人申请</w:t>
      </w:r>
      <w:r>
        <w:rPr>
          <w:rFonts w:hint="eastAsia" w:ascii="宋体" w:hAnsi="宋体"/>
          <w:szCs w:val="21"/>
        </w:rPr>
        <w:t>投保</w:t>
      </w:r>
      <w:r>
        <w:rPr>
          <w:rFonts w:ascii="宋体" w:hAnsi="宋体"/>
          <w:szCs w:val="21"/>
        </w:rPr>
        <w:t>本附加险合同</w:t>
      </w:r>
      <w:r>
        <w:rPr>
          <w:rFonts w:hint="eastAsia" w:ascii="宋体" w:hAnsi="宋体"/>
          <w:szCs w:val="21"/>
        </w:rPr>
        <w:t>，经保险人同意而订立。</w:t>
      </w:r>
      <w:r>
        <w:rPr>
          <w:rFonts w:ascii="宋体" w:hAnsi="宋体"/>
          <w:szCs w:val="21"/>
        </w:rPr>
        <w:t>凡涉及本</w:t>
      </w:r>
      <w:r>
        <w:rPr>
          <w:rFonts w:hint="eastAsia" w:ascii="宋体" w:hAnsi="宋体"/>
          <w:szCs w:val="21"/>
        </w:rPr>
        <w:t>附加险</w:t>
      </w:r>
      <w:r>
        <w:rPr>
          <w:rFonts w:ascii="宋体" w:hAnsi="宋体"/>
          <w:szCs w:val="21"/>
        </w:rPr>
        <w:t>合同的约定，均应采用书面形式。</w:t>
      </w:r>
    </w:p>
    <w:p>
      <w:pPr>
        <w:pStyle w:val="8"/>
        <w:spacing w:line="360" w:lineRule="auto"/>
        <w:ind w:left="0" w:leftChars="0"/>
        <w:outlineLvl w:val="9"/>
        <w:rPr>
          <w:rFonts w:ascii="宋体" w:hAnsi="宋体"/>
          <w:szCs w:val="21"/>
        </w:rPr>
      </w:pPr>
      <w:r>
        <w:rPr>
          <w:rFonts w:hint="eastAsia" w:ascii="宋体" w:hAnsi="宋体"/>
          <w:szCs w:val="21"/>
        </w:rPr>
        <w:t>本附加险合同作为主险合同的组成部分，主险合同效力终止</w:t>
      </w:r>
      <w:r>
        <w:rPr>
          <w:rFonts w:ascii="宋体" w:hAnsi="宋体"/>
          <w:szCs w:val="21"/>
        </w:rPr>
        <w:t>，本</w:t>
      </w:r>
      <w:r>
        <w:rPr>
          <w:rFonts w:hint="eastAsia" w:ascii="宋体" w:hAnsi="宋体"/>
          <w:szCs w:val="21"/>
        </w:rPr>
        <w:t>附加险合同</w:t>
      </w:r>
      <w:r>
        <w:rPr>
          <w:rFonts w:ascii="宋体" w:hAnsi="宋体"/>
          <w:szCs w:val="21"/>
        </w:rPr>
        <w:t>效力亦同时终止；主</w:t>
      </w:r>
      <w:r>
        <w:rPr>
          <w:rFonts w:hint="eastAsia" w:ascii="宋体" w:hAnsi="宋体"/>
          <w:szCs w:val="21"/>
        </w:rPr>
        <w:t>险</w:t>
      </w:r>
      <w:r>
        <w:rPr>
          <w:rFonts w:ascii="宋体" w:hAnsi="宋体"/>
          <w:szCs w:val="21"/>
        </w:rPr>
        <w:t>合同无效，本</w:t>
      </w:r>
      <w:r>
        <w:rPr>
          <w:rFonts w:hint="eastAsia" w:ascii="宋体" w:hAnsi="宋体"/>
          <w:szCs w:val="21"/>
        </w:rPr>
        <w:t>附加险合同</w:t>
      </w:r>
      <w:r>
        <w:rPr>
          <w:rFonts w:ascii="宋体" w:hAnsi="宋体"/>
          <w:szCs w:val="21"/>
        </w:rPr>
        <w:t>亦无效</w:t>
      </w:r>
      <w:r>
        <w:rPr>
          <w:rFonts w:hint="eastAsia" w:ascii="宋体" w:hAnsi="宋体"/>
          <w:szCs w:val="21"/>
        </w:rPr>
        <w:t>。</w:t>
      </w:r>
    </w:p>
    <w:p>
      <w:pPr>
        <w:pStyle w:val="8"/>
        <w:spacing w:line="360" w:lineRule="auto"/>
        <w:ind w:left="0" w:leftChars="0"/>
        <w:outlineLvl w:val="9"/>
        <w:rPr>
          <w:rFonts w:ascii="宋体" w:hAnsi="宋体"/>
          <w:szCs w:val="21"/>
        </w:rPr>
      </w:pPr>
      <w:r>
        <w:rPr>
          <w:rFonts w:hint="eastAsia" w:ascii="宋体" w:hAnsi="宋体"/>
          <w:szCs w:val="21"/>
        </w:rPr>
        <w:t>本附加险合同与主险合同相抵触之处，以本附加险合同为准；本附加险合同未约定事项，以主险合同为准。</w:t>
      </w:r>
    </w:p>
    <w:p>
      <w:pPr>
        <w:adjustRightInd w:val="0"/>
        <w:snapToGrid w:val="0"/>
        <w:spacing w:line="360" w:lineRule="auto"/>
        <w:ind w:firstLine="422" w:firstLineChars="200"/>
        <w:outlineLvl w:val="9"/>
        <w:rPr>
          <w:rFonts w:ascii="宋体" w:hAnsi="宋体"/>
          <w:bCs/>
          <w:szCs w:val="21"/>
        </w:rPr>
      </w:pPr>
      <w:r>
        <w:rPr>
          <w:rFonts w:hint="eastAsia" w:ascii="宋体" w:hAnsi="宋体"/>
          <w:b/>
          <w:szCs w:val="21"/>
        </w:rPr>
        <w:t xml:space="preserve">第二条 </w:t>
      </w:r>
      <w:r>
        <w:rPr>
          <w:rFonts w:hint="eastAsia" w:ascii="宋体" w:hAnsi="宋体"/>
          <w:bCs/>
          <w:szCs w:val="21"/>
        </w:rPr>
        <w:t>本附加险合同的投保人、被保险人与主险合同保持一致。</w:t>
      </w:r>
    </w:p>
    <w:p>
      <w:pPr>
        <w:adjustRightInd w:val="0"/>
        <w:snapToGrid w:val="0"/>
        <w:spacing w:line="360" w:lineRule="auto"/>
        <w:ind w:firstLine="422" w:firstLineChars="200"/>
        <w:outlineLvl w:val="9"/>
        <w:rPr>
          <w:rFonts w:ascii="宋体" w:hAnsi="宋体"/>
          <w:szCs w:val="21"/>
        </w:rPr>
      </w:pPr>
      <w:r>
        <w:rPr>
          <w:rFonts w:hint="eastAsia" w:ascii="宋体" w:hAnsi="宋体"/>
          <w:b/>
          <w:szCs w:val="21"/>
        </w:rPr>
        <w:t>第三条</w:t>
      </w:r>
      <w:r>
        <w:rPr>
          <w:rFonts w:hint="eastAsia" w:ascii="宋体" w:hAnsi="宋体"/>
          <w:szCs w:val="21"/>
        </w:rPr>
        <w:t xml:space="preserve"> 订立本附加险合同时，被保险人或投保人可指定一人或数人为猝死保险金受益人。被保险人或投保人可以变更猝死保险金受益人，但需书面通知保险人，由保险人在本附加险合同上批注。投保人指定或变更猝死保险金受益人时须经被保险人书面同意。被保险人为未成年人的，应由其监护人指定或变更猝死保险金受益人。</w:t>
      </w:r>
    </w:p>
    <w:p>
      <w:pPr>
        <w:adjustRightInd w:val="0"/>
        <w:snapToGrid w:val="0"/>
        <w:spacing w:line="360" w:lineRule="auto"/>
        <w:ind w:firstLine="420" w:firstLineChars="200"/>
        <w:outlineLvl w:val="9"/>
        <w:rPr>
          <w:rFonts w:ascii="宋体" w:hAnsi="宋体"/>
          <w:szCs w:val="21"/>
        </w:rPr>
      </w:pPr>
      <w:r>
        <w:rPr>
          <w:rFonts w:hint="eastAsia" w:ascii="宋体" w:hAnsi="宋体"/>
          <w:szCs w:val="21"/>
        </w:rPr>
        <w:t>猝死保险金受益人为数人时，应确定其受益顺序和受益份额；未确定受益份额的，猝死保险金受益人按照相等份额享有受益权。</w:t>
      </w:r>
    </w:p>
    <w:p>
      <w:pPr>
        <w:adjustRightInd w:val="0"/>
        <w:snapToGrid w:val="0"/>
        <w:spacing w:line="360" w:lineRule="auto"/>
        <w:ind w:firstLine="420" w:firstLineChars="200"/>
        <w:outlineLvl w:val="9"/>
        <w:rPr>
          <w:rFonts w:ascii="宋体" w:hAnsi="宋体"/>
          <w:szCs w:val="21"/>
        </w:rPr>
      </w:pPr>
      <w:r>
        <w:rPr>
          <w:rFonts w:hint="eastAsia" w:ascii="宋体" w:hAnsi="宋体"/>
          <w:szCs w:val="21"/>
        </w:rPr>
        <w:t>被保险人死亡后，有下列情形之一的，保险金作为被保险人的遗产，由保险人依照《中华人民共和国民法典》的规定履行给付保险金的义务：</w:t>
      </w:r>
    </w:p>
    <w:p>
      <w:pPr>
        <w:adjustRightInd w:val="0"/>
        <w:snapToGrid w:val="0"/>
        <w:spacing w:line="360" w:lineRule="auto"/>
        <w:ind w:firstLine="420" w:firstLineChars="200"/>
        <w:outlineLvl w:val="9"/>
        <w:rPr>
          <w:rFonts w:ascii="宋体" w:hAnsi="宋体"/>
          <w:szCs w:val="21"/>
        </w:rPr>
      </w:pPr>
      <w:r>
        <w:rPr>
          <w:rFonts w:hint="eastAsia" w:ascii="宋体" w:hAnsi="宋体"/>
          <w:szCs w:val="21"/>
        </w:rPr>
        <w:t>1.没有指定受益人，或者受益人指定不明无法确定的；</w:t>
      </w:r>
    </w:p>
    <w:p>
      <w:pPr>
        <w:adjustRightInd w:val="0"/>
        <w:snapToGrid w:val="0"/>
        <w:spacing w:line="360" w:lineRule="auto"/>
        <w:ind w:firstLine="420" w:firstLineChars="200"/>
        <w:outlineLvl w:val="9"/>
        <w:rPr>
          <w:rFonts w:ascii="宋体" w:hAnsi="宋体"/>
          <w:szCs w:val="21"/>
        </w:rPr>
      </w:pPr>
      <w:r>
        <w:rPr>
          <w:rFonts w:hint="eastAsia" w:ascii="宋体" w:hAnsi="宋体"/>
          <w:szCs w:val="21"/>
        </w:rPr>
        <w:t>2.受益人先于被保险人死亡，没有其他受益人的；</w:t>
      </w:r>
    </w:p>
    <w:p>
      <w:pPr>
        <w:adjustRightInd w:val="0"/>
        <w:snapToGrid w:val="0"/>
        <w:spacing w:line="360" w:lineRule="auto"/>
        <w:ind w:firstLine="420" w:firstLineChars="200"/>
        <w:outlineLvl w:val="9"/>
        <w:rPr>
          <w:rFonts w:ascii="宋体" w:hAnsi="宋体"/>
          <w:szCs w:val="21"/>
        </w:rPr>
      </w:pPr>
      <w:r>
        <w:rPr>
          <w:rFonts w:hint="eastAsia" w:ascii="宋体" w:hAnsi="宋体"/>
          <w:szCs w:val="21"/>
        </w:rPr>
        <w:t>3.受益人依法丧失受益权或者放弃受益权，没有其他受益人的。</w:t>
      </w:r>
    </w:p>
    <w:p>
      <w:pPr>
        <w:adjustRightInd w:val="0"/>
        <w:snapToGrid w:val="0"/>
        <w:spacing w:line="360" w:lineRule="auto"/>
        <w:ind w:firstLine="420" w:firstLineChars="200"/>
        <w:outlineLvl w:val="9"/>
        <w:rPr>
          <w:rFonts w:ascii="宋体" w:hAnsi="宋体"/>
          <w:szCs w:val="21"/>
        </w:rPr>
      </w:pPr>
      <w:r>
        <w:rPr>
          <w:rFonts w:hint="eastAsia" w:ascii="宋体" w:hAnsi="宋体"/>
          <w:szCs w:val="21"/>
        </w:rPr>
        <w:t>受益人与被保险人在同一事件中死亡，且不能确定死亡先后顺序的，推定受益人死亡在先。</w:t>
      </w:r>
    </w:p>
    <w:p>
      <w:pPr>
        <w:pStyle w:val="7"/>
        <w:spacing w:beforeLines="0" w:after="0" w:afterLines="0" w:line="360" w:lineRule="auto"/>
        <w:ind w:firstLine="0" w:firstLineChars="0"/>
        <w:jc w:val="center"/>
        <w:outlineLvl w:val="9"/>
        <w:rPr>
          <w:rFonts w:hint="eastAsia" w:ascii="宋体" w:hAnsi="宋体"/>
          <w:szCs w:val="21"/>
        </w:rPr>
      </w:pPr>
      <w:bookmarkStart w:id="20" w:name="_Toc1440_WPSOffice_Level2"/>
      <w:bookmarkStart w:id="21" w:name="_Toc340_WPSOffice_Level2"/>
      <w:bookmarkStart w:id="22" w:name="_Toc26542_WPSOffice_Level2"/>
      <w:bookmarkStart w:id="23" w:name="_Toc9553_WPSOffice_Level2"/>
      <w:r>
        <w:rPr>
          <w:rFonts w:hint="eastAsia" w:ascii="宋体" w:hAnsi="宋体"/>
          <w:szCs w:val="21"/>
        </w:rPr>
        <w:t>保险责任</w:t>
      </w:r>
      <w:bookmarkEnd w:id="20"/>
      <w:bookmarkEnd w:id="21"/>
      <w:bookmarkEnd w:id="22"/>
      <w:bookmarkEnd w:id="23"/>
    </w:p>
    <w:p>
      <w:pPr>
        <w:pStyle w:val="8"/>
        <w:numPr>
          <w:ilvl w:val="0"/>
          <w:numId w:val="0"/>
        </w:numPr>
        <w:spacing w:beforeLines="0" w:after="0" w:afterLines="0" w:line="360" w:lineRule="auto"/>
        <w:ind w:left="0" w:leftChars="0" w:firstLine="422" w:firstLineChars="200"/>
        <w:outlineLvl w:val="9"/>
        <w:rPr>
          <w:rFonts w:hint="eastAsia" w:ascii="宋体" w:hAnsi="宋体"/>
          <w:szCs w:val="21"/>
        </w:rPr>
      </w:pPr>
      <w:r>
        <w:rPr>
          <w:rFonts w:hint="eastAsia" w:ascii="宋体" w:hAnsi="宋体"/>
          <w:b/>
          <w:bCs/>
          <w:szCs w:val="21"/>
          <w:lang w:eastAsia="zh-CN"/>
        </w:rPr>
        <w:t>第</w:t>
      </w:r>
      <w:r>
        <w:rPr>
          <w:rFonts w:hint="eastAsia" w:ascii="宋体" w:hAnsi="宋体"/>
          <w:b/>
          <w:bCs/>
          <w:szCs w:val="21"/>
          <w:lang w:val="en-US" w:eastAsia="zh-CN"/>
        </w:rPr>
        <w:t>四</w:t>
      </w:r>
      <w:r>
        <w:rPr>
          <w:rFonts w:hint="eastAsia" w:ascii="宋体" w:hAnsi="宋体"/>
          <w:b/>
          <w:bCs/>
          <w:szCs w:val="21"/>
          <w:lang w:eastAsia="zh-CN"/>
        </w:rPr>
        <w:t>条</w:t>
      </w:r>
      <w:r>
        <w:rPr>
          <w:rFonts w:hint="eastAsia" w:ascii="宋体" w:hAnsi="宋体"/>
          <w:b/>
          <w:bCs/>
          <w:szCs w:val="21"/>
          <w:lang w:val="en-US" w:eastAsia="zh-CN"/>
        </w:rPr>
        <w:t xml:space="preserve"> </w:t>
      </w:r>
      <w:r>
        <w:rPr>
          <w:rFonts w:hint="eastAsia" w:ascii="宋体" w:hAnsi="宋体"/>
          <w:szCs w:val="21"/>
        </w:rPr>
        <w:t>在保险期间内，被保险人在</w:t>
      </w:r>
      <w:r>
        <w:rPr>
          <w:rFonts w:hint="eastAsia" w:ascii="宋体" w:hAnsi="宋体"/>
          <w:szCs w:val="21"/>
          <w:lang w:val="en-US" w:eastAsia="zh-CN"/>
        </w:rPr>
        <w:t>主险</w:t>
      </w:r>
      <w:r>
        <w:rPr>
          <w:rFonts w:hint="eastAsia" w:ascii="宋体" w:hAnsi="宋体"/>
          <w:szCs w:val="21"/>
        </w:rPr>
        <w:t>合同约定的</w:t>
      </w:r>
      <w:r>
        <w:rPr>
          <w:rFonts w:hint="eastAsia" w:ascii="宋体" w:hAnsi="宋体"/>
          <w:szCs w:val="21"/>
          <w:lang w:eastAsia="zh-CN"/>
        </w:rPr>
        <w:t>时间、空间范围内发生猝死，</w:t>
      </w:r>
      <w:r>
        <w:rPr>
          <w:rFonts w:hint="eastAsia" w:ascii="宋体" w:hAnsi="宋体"/>
          <w:szCs w:val="21"/>
        </w:rPr>
        <w:t>保险人按本附加险合同约定的保险金额给付</w:t>
      </w:r>
      <w:r>
        <w:rPr>
          <w:rFonts w:hint="eastAsia" w:ascii="宋体" w:hAnsi="宋体"/>
          <w:szCs w:val="21"/>
          <w:lang w:eastAsia="zh-CN"/>
        </w:rPr>
        <w:t>猝死</w:t>
      </w:r>
      <w:r>
        <w:rPr>
          <w:rFonts w:hint="eastAsia" w:ascii="宋体" w:hAnsi="宋体"/>
          <w:szCs w:val="21"/>
        </w:rPr>
        <w:t>保险金，对该被保险人的保险责任终止。</w:t>
      </w:r>
    </w:p>
    <w:p>
      <w:pPr>
        <w:pStyle w:val="7"/>
        <w:spacing w:beforeLines="0" w:after="0" w:afterLines="0" w:line="360" w:lineRule="auto"/>
        <w:jc w:val="center"/>
        <w:outlineLvl w:val="9"/>
        <w:rPr>
          <w:rFonts w:hint="eastAsia" w:ascii="宋体" w:hAnsi="宋体"/>
          <w:szCs w:val="21"/>
        </w:rPr>
      </w:pPr>
      <w:bookmarkStart w:id="24" w:name="_Toc21019_WPSOffice_Level2"/>
      <w:bookmarkStart w:id="25" w:name="_Toc32277_WPSOffice_Level2"/>
      <w:bookmarkStart w:id="26" w:name="_Toc19687_WPSOffice_Level2"/>
      <w:bookmarkStart w:id="27" w:name="_Toc1524_WPSOffice_Level2"/>
      <w:r>
        <w:rPr>
          <w:rFonts w:hint="eastAsia" w:ascii="宋体" w:hAnsi="宋体"/>
          <w:szCs w:val="21"/>
        </w:rPr>
        <w:t>责任免除</w:t>
      </w:r>
      <w:bookmarkEnd w:id="24"/>
      <w:bookmarkEnd w:id="25"/>
      <w:bookmarkEnd w:id="26"/>
      <w:bookmarkEnd w:id="27"/>
    </w:p>
    <w:p>
      <w:pPr>
        <w:pStyle w:val="8"/>
        <w:numPr>
          <w:ilvl w:val="0"/>
          <w:numId w:val="0"/>
        </w:numPr>
        <w:spacing w:beforeLines="0" w:after="0" w:afterLines="0" w:line="360" w:lineRule="auto"/>
        <w:ind w:left="0" w:leftChars="0" w:firstLine="422" w:firstLineChars="200"/>
        <w:outlineLvl w:val="9"/>
        <w:rPr>
          <w:rFonts w:hint="eastAsia" w:ascii="宋体" w:hAnsi="宋体"/>
          <w:b/>
          <w:szCs w:val="21"/>
        </w:rPr>
      </w:pPr>
      <w:r>
        <w:rPr>
          <w:rFonts w:hint="eastAsia" w:ascii="宋体" w:hAnsi="宋体"/>
          <w:b/>
          <w:bCs/>
          <w:szCs w:val="21"/>
          <w:lang w:eastAsia="zh-CN"/>
        </w:rPr>
        <w:t>第</w:t>
      </w:r>
      <w:r>
        <w:rPr>
          <w:rFonts w:hint="eastAsia" w:ascii="宋体" w:hAnsi="宋体"/>
          <w:b/>
          <w:bCs/>
          <w:szCs w:val="21"/>
          <w:lang w:val="en-US" w:eastAsia="zh-CN"/>
        </w:rPr>
        <w:t>五</w:t>
      </w:r>
      <w:r>
        <w:rPr>
          <w:rFonts w:hint="eastAsia" w:ascii="宋体" w:hAnsi="宋体"/>
          <w:b/>
          <w:bCs/>
          <w:szCs w:val="21"/>
          <w:lang w:eastAsia="zh-CN"/>
        </w:rPr>
        <w:t>条</w:t>
      </w:r>
      <w:r>
        <w:rPr>
          <w:rFonts w:hint="eastAsia" w:ascii="宋体" w:hAnsi="宋体"/>
          <w:b/>
          <w:bCs/>
          <w:szCs w:val="21"/>
          <w:lang w:val="en-US" w:eastAsia="zh-CN"/>
        </w:rPr>
        <w:t xml:space="preserve"> </w:t>
      </w:r>
      <w:r>
        <w:rPr>
          <w:rFonts w:hint="eastAsia" w:ascii="宋体" w:hAnsi="宋体"/>
          <w:b/>
          <w:szCs w:val="21"/>
        </w:rPr>
        <w:t>被保险人因下列原因患病身故的，保险人不承担给付保险金责任：</w:t>
      </w:r>
    </w:p>
    <w:p>
      <w:pPr>
        <w:pStyle w:val="7"/>
        <w:numPr>
          <w:ilvl w:val="0"/>
          <w:numId w:val="0"/>
        </w:numPr>
        <w:spacing w:beforeLines="0" w:after="0" w:afterLines="0" w:line="360" w:lineRule="auto"/>
        <w:ind w:left="0" w:firstLine="422" w:firstLineChars="200"/>
        <w:jc w:val="left"/>
        <w:outlineLvl w:val="9"/>
        <w:rPr>
          <w:rFonts w:hint="eastAsia" w:ascii="宋体" w:hAnsi="宋体"/>
          <w:szCs w:val="21"/>
        </w:rPr>
      </w:pPr>
      <w:r>
        <w:rPr>
          <w:rFonts w:hint="eastAsia" w:ascii="宋体" w:hAnsi="宋体"/>
          <w:szCs w:val="21"/>
          <w:lang w:val="en-US" w:eastAsia="zh-CN"/>
        </w:rPr>
        <w:t>（一）</w:t>
      </w:r>
      <w:r>
        <w:rPr>
          <w:rFonts w:hint="eastAsia" w:ascii="宋体" w:hAnsi="宋体"/>
          <w:szCs w:val="21"/>
        </w:rPr>
        <w:t>投保人的故意行为；</w:t>
      </w:r>
    </w:p>
    <w:p>
      <w:pPr>
        <w:pStyle w:val="7"/>
        <w:numPr>
          <w:ilvl w:val="0"/>
          <w:numId w:val="0"/>
        </w:numPr>
        <w:spacing w:beforeLines="0" w:after="0" w:afterLines="0" w:line="360" w:lineRule="auto"/>
        <w:ind w:left="0" w:firstLine="422" w:firstLineChars="200"/>
        <w:jc w:val="left"/>
        <w:outlineLvl w:val="9"/>
        <w:rPr>
          <w:rFonts w:hint="eastAsia" w:ascii="宋体" w:hAnsi="宋体"/>
          <w:szCs w:val="21"/>
        </w:rPr>
      </w:pPr>
      <w:r>
        <w:rPr>
          <w:rFonts w:hint="eastAsia" w:ascii="宋体" w:hAnsi="宋体"/>
          <w:szCs w:val="21"/>
          <w:lang w:val="en-US" w:eastAsia="zh-CN"/>
        </w:rPr>
        <w:t>（二）</w:t>
      </w:r>
      <w:r>
        <w:rPr>
          <w:rFonts w:hint="eastAsia" w:ascii="宋体" w:hAnsi="宋体"/>
          <w:szCs w:val="21"/>
        </w:rPr>
        <w:t>被保险人自致伤害或自杀，但被保险人自杀时为无民事行为能力人的除外；</w:t>
      </w:r>
    </w:p>
    <w:p>
      <w:pPr>
        <w:pStyle w:val="7"/>
        <w:numPr>
          <w:ilvl w:val="0"/>
          <w:numId w:val="0"/>
        </w:numPr>
        <w:spacing w:beforeLines="0" w:after="0" w:afterLines="0" w:line="360" w:lineRule="auto"/>
        <w:ind w:left="0" w:firstLine="422" w:firstLineChars="200"/>
        <w:jc w:val="left"/>
        <w:outlineLvl w:val="9"/>
        <w:rPr>
          <w:rFonts w:hint="eastAsia" w:ascii="宋体" w:hAnsi="宋体"/>
          <w:szCs w:val="21"/>
        </w:rPr>
      </w:pPr>
      <w:r>
        <w:rPr>
          <w:rFonts w:hint="eastAsia" w:ascii="宋体" w:hAnsi="宋体"/>
          <w:szCs w:val="21"/>
          <w:lang w:val="en-US" w:eastAsia="zh-CN"/>
        </w:rPr>
        <w:t>（三）</w:t>
      </w:r>
      <w:r>
        <w:rPr>
          <w:rFonts w:hint="eastAsia" w:ascii="宋体" w:hAnsi="宋体"/>
          <w:szCs w:val="21"/>
        </w:rPr>
        <w:t>被保险人未遵医嘱服用、涂用、注射药物；</w:t>
      </w:r>
    </w:p>
    <w:p>
      <w:pPr>
        <w:pStyle w:val="7"/>
        <w:numPr>
          <w:ilvl w:val="0"/>
          <w:numId w:val="0"/>
        </w:numPr>
        <w:spacing w:beforeLines="0" w:after="0" w:afterLines="0" w:line="360" w:lineRule="auto"/>
        <w:ind w:left="0" w:firstLine="422" w:firstLineChars="200"/>
        <w:jc w:val="left"/>
        <w:outlineLvl w:val="9"/>
        <w:rPr>
          <w:rFonts w:hint="eastAsia" w:ascii="宋体" w:hAnsi="宋体"/>
          <w:szCs w:val="21"/>
        </w:rPr>
      </w:pPr>
      <w:r>
        <w:rPr>
          <w:rFonts w:hint="eastAsia" w:ascii="宋体" w:hAnsi="宋体"/>
          <w:szCs w:val="21"/>
          <w:lang w:val="en-US" w:eastAsia="zh-CN"/>
        </w:rPr>
        <w:t>（四）</w:t>
      </w:r>
      <w:r>
        <w:rPr>
          <w:rFonts w:hint="eastAsia" w:ascii="宋体" w:hAnsi="宋体"/>
          <w:szCs w:val="21"/>
        </w:rPr>
        <w:t>被保险人接受整容手术及其他内、外科手术过程中发生的医疗事故；</w:t>
      </w:r>
    </w:p>
    <w:p>
      <w:pPr>
        <w:pStyle w:val="7"/>
        <w:numPr>
          <w:ilvl w:val="0"/>
          <w:numId w:val="0"/>
        </w:numPr>
        <w:spacing w:beforeLines="0" w:after="0" w:afterLines="0" w:line="360" w:lineRule="auto"/>
        <w:ind w:left="0" w:firstLine="422" w:firstLineChars="200"/>
        <w:jc w:val="left"/>
        <w:outlineLvl w:val="9"/>
        <w:rPr>
          <w:rFonts w:hint="eastAsia" w:ascii="宋体" w:hAnsi="宋体"/>
          <w:szCs w:val="21"/>
        </w:rPr>
      </w:pPr>
      <w:r>
        <w:rPr>
          <w:rFonts w:hint="eastAsia" w:ascii="宋体" w:hAnsi="宋体"/>
          <w:szCs w:val="21"/>
          <w:lang w:val="en-US" w:eastAsia="zh-CN"/>
        </w:rPr>
        <w:t>（五）</w:t>
      </w:r>
      <w:r>
        <w:rPr>
          <w:rFonts w:hint="eastAsia" w:ascii="宋体" w:hAnsi="宋体"/>
          <w:szCs w:val="21"/>
        </w:rPr>
        <w:t>被保险人流产、堕胎、分娩、不孕症、避孕或绝育手术、变性手术、人体试验和人工生殖，及由此而引起的并发症；</w:t>
      </w:r>
    </w:p>
    <w:p>
      <w:pPr>
        <w:pStyle w:val="7"/>
        <w:numPr>
          <w:ilvl w:val="0"/>
          <w:numId w:val="0"/>
        </w:numPr>
        <w:spacing w:beforeLines="0" w:after="0" w:afterLines="0" w:line="360" w:lineRule="auto"/>
        <w:ind w:left="0" w:firstLine="422" w:firstLineChars="200"/>
        <w:jc w:val="left"/>
        <w:outlineLvl w:val="9"/>
        <w:rPr>
          <w:rFonts w:hint="eastAsia" w:ascii="宋体" w:hAnsi="宋体"/>
          <w:szCs w:val="21"/>
        </w:rPr>
      </w:pPr>
      <w:r>
        <w:rPr>
          <w:rFonts w:hint="eastAsia" w:ascii="宋体" w:hAnsi="宋体"/>
          <w:szCs w:val="21"/>
          <w:lang w:eastAsia="zh-CN"/>
        </w:rPr>
        <w:t>（六）</w:t>
      </w:r>
      <w:r>
        <w:rPr>
          <w:rFonts w:hint="eastAsia" w:ascii="宋体" w:hAnsi="宋体"/>
          <w:szCs w:val="21"/>
        </w:rPr>
        <w:t>被保险人作为器官捐献者接受的与器官摘除相关的医疗行为及其并发症、后遗症的治疗；</w:t>
      </w:r>
    </w:p>
    <w:p>
      <w:pPr>
        <w:pStyle w:val="7"/>
        <w:numPr>
          <w:ilvl w:val="0"/>
          <w:numId w:val="0"/>
        </w:numPr>
        <w:spacing w:beforeLines="0" w:after="0" w:afterLines="0" w:line="360" w:lineRule="auto"/>
        <w:ind w:left="0" w:firstLine="422" w:firstLineChars="200"/>
        <w:jc w:val="left"/>
        <w:outlineLvl w:val="9"/>
        <w:rPr>
          <w:rFonts w:hint="eastAsia" w:ascii="宋体" w:hAnsi="宋体"/>
          <w:szCs w:val="21"/>
        </w:rPr>
      </w:pPr>
      <w:r>
        <w:rPr>
          <w:rFonts w:hint="eastAsia" w:ascii="宋体" w:hAnsi="宋体"/>
          <w:szCs w:val="21"/>
          <w:lang w:val="en-US" w:eastAsia="zh-CN"/>
        </w:rPr>
        <w:t>（七）</w:t>
      </w:r>
      <w:r>
        <w:rPr>
          <w:rFonts w:hint="eastAsia" w:ascii="宋体" w:hAnsi="宋体"/>
          <w:szCs w:val="21"/>
        </w:rPr>
        <w:t>被保险人罹患先天性疾病、遗传性疾病、先天性畸形或缺陷、变性或染色体异常；被保险人罹患特定传染病、职业病、地方病、精神和行为障碍、心理疾病、性病；</w:t>
      </w:r>
    </w:p>
    <w:p>
      <w:pPr>
        <w:pStyle w:val="7"/>
        <w:numPr>
          <w:ilvl w:val="0"/>
          <w:numId w:val="0"/>
        </w:numPr>
        <w:spacing w:beforeLines="0" w:after="0" w:afterLines="0" w:line="360" w:lineRule="auto"/>
        <w:ind w:left="0" w:firstLine="422" w:firstLineChars="200"/>
        <w:jc w:val="left"/>
        <w:outlineLvl w:val="9"/>
        <w:rPr>
          <w:rFonts w:hint="eastAsia" w:ascii="宋体" w:hAnsi="宋体"/>
          <w:szCs w:val="21"/>
        </w:rPr>
      </w:pPr>
      <w:r>
        <w:rPr>
          <w:rFonts w:hint="eastAsia" w:ascii="宋体" w:hAnsi="宋体"/>
          <w:szCs w:val="21"/>
          <w:lang w:val="en-US" w:eastAsia="zh-CN"/>
        </w:rPr>
        <w:t>（八）</w:t>
      </w:r>
      <w:r>
        <w:rPr>
          <w:rFonts w:hint="eastAsia" w:ascii="宋体" w:hAnsi="宋体"/>
          <w:szCs w:val="21"/>
        </w:rPr>
        <w:t>投保前罹患的疾病，以及与此相关的疾病；</w:t>
      </w:r>
    </w:p>
    <w:p>
      <w:pPr>
        <w:pStyle w:val="7"/>
        <w:numPr>
          <w:ilvl w:val="0"/>
          <w:numId w:val="0"/>
        </w:numPr>
        <w:spacing w:beforeLines="0" w:after="0" w:afterLines="0" w:line="360" w:lineRule="auto"/>
        <w:ind w:left="0" w:firstLine="422" w:firstLineChars="200"/>
        <w:jc w:val="left"/>
        <w:outlineLvl w:val="9"/>
        <w:rPr>
          <w:rFonts w:hint="eastAsia" w:ascii="宋体" w:hAnsi="宋体"/>
          <w:szCs w:val="21"/>
        </w:rPr>
      </w:pPr>
      <w:r>
        <w:rPr>
          <w:rFonts w:hint="eastAsia" w:ascii="宋体" w:hAnsi="宋体"/>
          <w:szCs w:val="21"/>
          <w:lang w:val="en-US" w:eastAsia="zh-CN"/>
        </w:rPr>
        <w:t>（九）</w:t>
      </w:r>
      <w:r>
        <w:rPr>
          <w:rFonts w:hint="eastAsia" w:ascii="宋体" w:hAnsi="宋体"/>
          <w:szCs w:val="21"/>
        </w:rPr>
        <w:t>任何生物、化学、原子能武器，原子能或核能装置所造成的爆炸、灼伤、污染或辐射；</w:t>
      </w:r>
    </w:p>
    <w:p>
      <w:pPr>
        <w:pStyle w:val="7"/>
        <w:numPr>
          <w:ilvl w:val="0"/>
          <w:numId w:val="0"/>
        </w:numPr>
        <w:spacing w:beforeLines="0" w:after="0" w:afterLines="0" w:line="360" w:lineRule="auto"/>
        <w:ind w:left="0" w:firstLine="422" w:firstLineChars="200"/>
        <w:jc w:val="left"/>
        <w:outlineLvl w:val="9"/>
        <w:rPr>
          <w:rFonts w:hint="eastAsia" w:ascii="宋体" w:hAnsi="宋体"/>
          <w:szCs w:val="21"/>
        </w:rPr>
      </w:pPr>
      <w:r>
        <w:rPr>
          <w:rFonts w:hint="eastAsia" w:ascii="宋体" w:hAnsi="宋体"/>
          <w:szCs w:val="21"/>
          <w:lang w:val="en-US" w:eastAsia="zh-CN"/>
        </w:rPr>
        <w:t>（十）</w:t>
      </w:r>
      <w:r>
        <w:rPr>
          <w:rFonts w:hint="eastAsia" w:ascii="宋体" w:hAnsi="宋体"/>
          <w:szCs w:val="21"/>
        </w:rPr>
        <w:t>恐怖袭击</w:t>
      </w:r>
      <w:r>
        <w:rPr>
          <w:rFonts w:hint="eastAsia" w:ascii="宋体" w:hAnsi="宋体"/>
          <w:szCs w:val="21"/>
          <w:lang w:eastAsia="zh-CN"/>
        </w:rPr>
        <w:t>；</w:t>
      </w:r>
    </w:p>
    <w:p>
      <w:pPr>
        <w:pStyle w:val="7"/>
        <w:numPr>
          <w:ilvl w:val="0"/>
          <w:numId w:val="0"/>
        </w:numPr>
        <w:spacing w:beforeLines="0" w:after="0" w:afterLines="0" w:line="360" w:lineRule="auto"/>
        <w:ind w:left="0" w:firstLine="422" w:firstLineChars="200"/>
        <w:jc w:val="left"/>
        <w:outlineLvl w:val="9"/>
        <w:rPr>
          <w:rFonts w:hint="eastAsia" w:ascii="宋体" w:hAnsi="宋体"/>
          <w:szCs w:val="21"/>
        </w:rPr>
      </w:pPr>
      <w:r>
        <w:rPr>
          <w:rFonts w:hint="eastAsia" w:ascii="宋体" w:hAnsi="宋体"/>
          <w:szCs w:val="21"/>
          <w:lang w:val="en-US" w:eastAsia="zh-CN"/>
        </w:rPr>
        <w:t>（十一）</w:t>
      </w:r>
      <w:r>
        <w:rPr>
          <w:rFonts w:hint="eastAsia" w:ascii="宋体" w:hAnsi="宋体"/>
          <w:szCs w:val="21"/>
        </w:rPr>
        <w:t>其它在保险单或保险凭证中载明的责任免除事项。</w:t>
      </w:r>
    </w:p>
    <w:p>
      <w:pPr>
        <w:pStyle w:val="8"/>
        <w:numPr>
          <w:ilvl w:val="0"/>
          <w:numId w:val="0"/>
        </w:numPr>
        <w:spacing w:beforeLines="0" w:after="0" w:afterLines="0" w:line="360" w:lineRule="auto"/>
        <w:ind w:left="0" w:leftChars="0" w:firstLine="422" w:firstLineChars="200"/>
        <w:outlineLvl w:val="9"/>
        <w:rPr>
          <w:rFonts w:hint="eastAsia" w:ascii="宋体" w:hAnsi="宋体"/>
          <w:b/>
          <w:szCs w:val="21"/>
        </w:rPr>
      </w:pPr>
      <w:r>
        <w:rPr>
          <w:rFonts w:hint="eastAsia" w:ascii="宋体" w:hAnsi="宋体"/>
          <w:b/>
          <w:bCs/>
          <w:szCs w:val="21"/>
          <w:lang w:eastAsia="zh-CN"/>
        </w:rPr>
        <w:t>第</w:t>
      </w:r>
      <w:r>
        <w:rPr>
          <w:rFonts w:hint="eastAsia" w:ascii="宋体" w:hAnsi="宋体"/>
          <w:b/>
          <w:bCs/>
          <w:szCs w:val="21"/>
          <w:lang w:val="en-US" w:eastAsia="zh-CN"/>
        </w:rPr>
        <w:t>六</w:t>
      </w:r>
      <w:r>
        <w:rPr>
          <w:rFonts w:hint="eastAsia" w:ascii="宋体" w:hAnsi="宋体"/>
          <w:b/>
          <w:bCs/>
          <w:szCs w:val="21"/>
          <w:lang w:eastAsia="zh-CN"/>
        </w:rPr>
        <w:t>条</w:t>
      </w:r>
      <w:r>
        <w:rPr>
          <w:rFonts w:hint="eastAsia" w:ascii="宋体" w:hAnsi="宋体"/>
          <w:b/>
          <w:bCs/>
          <w:szCs w:val="21"/>
          <w:lang w:val="en-US" w:eastAsia="zh-CN"/>
        </w:rPr>
        <w:t xml:space="preserve"> </w:t>
      </w:r>
      <w:r>
        <w:rPr>
          <w:rFonts w:hint="eastAsia" w:ascii="宋体" w:hAnsi="宋体"/>
          <w:b/>
          <w:szCs w:val="21"/>
        </w:rPr>
        <w:t>被保险人在下列期间患病身故的，保险人也不承担给付保险金责任：</w:t>
      </w:r>
    </w:p>
    <w:p>
      <w:pPr>
        <w:pStyle w:val="7"/>
        <w:numPr>
          <w:ilvl w:val="0"/>
          <w:numId w:val="0"/>
        </w:numPr>
        <w:spacing w:beforeLines="0" w:after="0" w:afterLines="0" w:line="360" w:lineRule="auto"/>
        <w:ind w:left="0" w:firstLine="422" w:firstLineChars="200"/>
        <w:jc w:val="left"/>
        <w:outlineLvl w:val="9"/>
        <w:rPr>
          <w:rFonts w:hint="eastAsia" w:ascii="宋体" w:hAnsi="宋体"/>
          <w:szCs w:val="21"/>
        </w:rPr>
      </w:pPr>
      <w:r>
        <w:rPr>
          <w:rFonts w:hint="eastAsia" w:ascii="宋体" w:hAnsi="宋体"/>
          <w:szCs w:val="21"/>
          <w:lang w:val="en-US" w:eastAsia="zh-CN"/>
        </w:rPr>
        <w:t>（一）</w:t>
      </w:r>
      <w:r>
        <w:rPr>
          <w:rFonts w:hint="eastAsia" w:ascii="宋体" w:hAnsi="宋体"/>
          <w:szCs w:val="21"/>
        </w:rPr>
        <w:t>战争、军事行动、暴动或武装叛乱期间；</w:t>
      </w:r>
    </w:p>
    <w:p>
      <w:pPr>
        <w:pStyle w:val="7"/>
        <w:numPr>
          <w:ilvl w:val="0"/>
          <w:numId w:val="0"/>
        </w:numPr>
        <w:spacing w:beforeLines="0" w:after="0" w:afterLines="0" w:line="360" w:lineRule="auto"/>
        <w:ind w:left="0" w:firstLine="422" w:firstLineChars="200"/>
        <w:jc w:val="left"/>
        <w:outlineLvl w:val="9"/>
        <w:rPr>
          <w:rFonts w:hint="eastAsia" w:ascii="宋体" w:hAnsi="宋体"/>
          <w:szCs w:val="21"/>
        </w:rPr>
      </w:pPr>
      <w:r>
        <w:rPr>
          <w:rFonts w:hint="eastAsia" w:ascii="宋体" w:hAnsi="宋体"/>
          <w:szCs w:val="21"/>
          <w:lang w:eastAsia="zh-CN"/>
        </w:rPr>
        <w:t>（二）</w:t>
      </w:r>
      <w:r>
        <w:rPr>
          <w:rFonts w:hint="eastAsia" w:ascii="宋体" w:hAnsi="宋体"/>
          <w:szCs w:val="21"/>
        </w:rPr>
        <w:t>被保险人醉酒或受毒品、管制药物的影响期间；</w:t>
      </w:r>
    </w:p>
    <w:p>
      <w:pPr>
        <w:pStyle w:val="7"/>
        <w:numPr>
          <w:ilvl w:val="0"/>
          <w:numId w:val="0"/>
        </w:numPr>
        <w:spacing w:beforeLines="0" w:after="0" w:afterLines="0" w:line="360" w:lineRule="auto"/>
        <w:ind w:left="0" w:firstLine="422" w:firstLineChars="200"/>
        <w:jc w:val="left"/>
        <w:outlineLvl w:val="9"/>
        <w:rPr>
          <w:rFonts w:hint="eastAsia" w:ascii="宋体" w:hAnsi="宋体"/>
          <w:szCs w:val="21"/>
        </w:rPr>
      </w:pPr>
      <w:r>
        <w:rPr>
          <w:rFonts w:hint="eastAsia" w:ascii="宋体" w:hAnsi="宋体"/>
          <w:szCs w:val="21"/>
          <w:lang w:eastAsia="zh-CN"/>
        </w:rPr>
        <w:t>（三）</w:t>
      </w:r>
      <w:r>
        <w:rPr>
          <w:rFonts w:hint="eastAsia" w:ascii="宋体" w:hAnsi="宋体"/>
          <w:szCs w:val="21"/>
        </w:rPr>
        <w:t>被保险人酒后驾车、无有效驾驶证驾驶或驾驶无有效行驶证的机动交通工具期间；</w:t>
      </w:r>
    </w:p>
    <w:p>
      <w:pPr>
        <w:pStyle w:val="7"/>
        <w:numPr>
          <w:ilvl w:val="0"/>
          <w:numId w:val="0"/>
        </w:numPr>
        <w:spacing w:beforeLines="0" w:after="0" w:afterLines="0" w:line="360" w:lineRule="auto"/>
        <w:ind w:left="0" w:firstLine="422" w:firstLineChars="200"/>
        <w:jc w:val="left"/>
        <w:outlineLvl w:val="9"/>
        <w:rPr>
          <w:rFonts w:hint="eastAsia" w:ascii="宋体" w:hAnsi="宋体"/>
          <w:szCs w:val="21"/>
        </w:rPr>
      </w:pPr>
      <w:r>
        <w:rPr>
          <w:rFonts w:hint="eastAsia" w:ascii="宋体" w:hAnsi="宋体"/>
          <w:szCs w:val="21"/>
          <w:lang w:eastAsia="zh-CN"/>
        </w:rPr>
        <w:t>（四）</w:t>
      </w:r>
      <w:r>
        <w:rPr>
          <w:rFonts w:hint="eastAsia" w:ascii="宋体" w:hAnsi="宋体"/>
          <w:szCs w:val="21"/>
        </w:rPr>
        <w:t>被保险人从事犯罪活动期间或被依法采取刑事强制措施或服刑期间；</w:t>
      </w:r>
    </w:p>
    <w:p>
      <w:pPr>
        <w:pStyle w:val="7"/>
        <w:numPr>
          <w:ilvl w:val="0"/>
          <w:numId w:val="0"/>
        </w:numPr>
        <w:spacing w:beforeLines="0" w:after="0" w:afterLines="0" w:line="360" w:lineRule="auto"/>
        <w:ind w:left="0" w:firstLine="422" w:firstLineChars="200"/>
        <w:jc w:val="left"/>
        <w:outlineLvl w:val="9"/>
        <w:rPr>
          <w:rFonts w:hint="eastAsia" w:ascii="宋体" w:hAnsi="宋体"/>
          <w:szCs w:val="21"/>
        </w:rPr>
      </w:pPr>
      <w:r>
        <w:rPr>
          <w:rFonts w:hint="eastAsia" w:ascii="宋体" w:hAnsi="宋体"/>
          <w:szCs w:val="21"/>
          <w:lang w:eastAsia="zh-CN"/>
        </w:rPr>
        <w:t>（五）</w:t>
      </w:r>
      <w:r>
        <w:rPr>
          <w:rFonts w:hint="eastAsia" w:ascii="宋体" w:hAnsi="宋体"/>
          <w:szCs w:val="21"/>
        </w:rPr>
        <w:t>被保险人存在精神和行为障碍（以世界卫生组织颁布的《疾病和有关健康问题的国际统计分类（ICD-10）》为准）期间；</w:t>
      </w:r>
    </w:p>
    <w:p>
      <w:pPr>
        <w:pStyle w:val="7"/>
        <w:numPr>
          <w:ilvl w:val="0"/>
          <w:numId w:val="0"/>
        </w:numPr>
        <w:spacing w:beforeLines="0" w:after="0" w:afterLines="0" w:line="360" w:lineRule="auto"/>
        <w:ind w:left="0" w:firstLine="422" w:firstLineChars="200"/>
        <w:jc w:val="left"/>
        <w:outlineLvl w:val="9"/>
        <w:rPr>
          <w:rFonts w:hint="eastAsia" w:ascii="宋体" w:hAnsi="宋体"/>
          <w:szCs w:val="21"/>
        </w:rPr>
      </w:pPr>
      <w:r>
        <w:rPr>
          <w:rFonts w:hint="eastAsia" w:ascii="宋体" w:hAnsi="宋体"/>
          <w:szCs w:val="21"/>
          <w:lang w:eastAsia="zh-CN"/>
        </w:rPr>
        <w:t>（六）</w:t>
      </w:r>
      <w:r>
        <w:rPr>
          <w:rFonts w:hint="eastAsia" w:ascii="宋体" w:hAnsi="宋体"/>
          <w:szCs w:val="21"/>
        </w:rPr>
        <w:t>被保险人患艾滋病（AIDS）或感染艾滋病毒（HIV呈阳性）期间；</w:t>
      </w:r>
    </w:p>
    <w:p>
      <w:pPr>
        <w:pStyle w:val="7"/>
        <w:numPr>
          <w:ilvl w:val="0"/>
          <w:numId w:val="0"/>
        </w:numPr>
        <w:spacing w:beforeLines="0" w:after="0" w:afterLines="0" w:line="360" w:lineRule="auto"/>
        <w:ind w:left="0" w:firstLine="422" w:firstLineChars="200"/>
        <w:jc w:val="left"/>
        <w:outlineLvl w:val="9"/>
        <w:rPr>
          <w:rFonts w:hint="eastAsia" w:ascii="宋体" w:hAnsi="宋体"/>
          <w:szCs w:val="21"/>
        </w:rPr>
      </w:pPr>
      <w:r>
        <w:rPr>
          <w:rFonts w:hint="eastAsia" w:ascii="宋体" w:hAnsi="宋体"/>
          <w:szCs w:val="21"/>
          <w:lang w:eastAsia="zh-CN"/>
        </w:rPr>
        <w:t>（七）</w:t>
      </w:r>
      <w:r>
        <w:rPr>
          <w:rFonts w:hint="eastAsia" w:ascii="宋体" w:hAnsi="宋体"/>
          <w:szCs w:val="21"/>
        </w:rPr>
        <w:t>被保险人从事或参与恐怖主义活动、邪教组织活动期间。</w:t>
      </w:r>
    </w:p>
    <w:p>
      <w:pPr>
        <w:pStyle w:val="8"/>
        <w:numPr>
          <w:ilvl w:val="0"/>
          <w:numId w:val="0"/>
        </w:numPr>
        <w:tabs>
          <w:tab w:val="left" w:pos="1305"/>
        </w:tabs>
        <w:spacing w:line="360" w:lineRule="auto"/>
        <w:jc w:val="center"/>
        <w:outlineLvl w:val="9"/>
        <w:rPr>
          <w:rFonts w:ascii="宋体" w:hAnsi="宋体"/>
          <w:color w:val="000000"/>
          <w:szCs w:val="21"/>
        </w:rPr>
      </w:pPr>
      <w:bookmarkStart w:id="28" w:name="_Toc25422_WPSOffice_Level2"/>
      <w:bookmarkStart w:id="29" w:name="_Toc17007_WPSOffice_Level2"/>
      <w:bookmarkStart w:id="30" w:name="_Toc9443_WPSOffice_Level2"/>
      <w:bookmarkStart w:id="31" w:name="_Toc27602_WPSOffice_Level2"/>
      <w:r>
        <w:rPr>
          <w:rFonts w:hint="eastAsia" w:ascii="宋体" w:hAnsi="宋体"/>
          <w:b/>
          <w:color w:val="000000"/>
          <w:szCs w:val="21"/>
        </w:rPr>
        <w:t>保险期间</w:t>
      </w:r>
      <w:bookmarkEnd w:id="28"/>
      <w:bookmarkEnd w:id="29"/>
      <w:bookmarkEnd w:id="30"/>
      <w:bookmarkEnd w:id="31"/>
    </w:p>
    <w:p>
      <w:pPr>
        <w:pStyle w:val="8"/>
        <w:spacing w:line="360" w:lineRule="auto"/>
        <w:ind w:left="0" w:leftChars="0" w:firstLine="422"/>
        <w:outlineLvl w:val="9"/>
        <w:rPr>
          <w:rStyle w:val="9"/>
          <w:rFonts w:ascii="宋体" w:hAnsi="宋体"/>
          <w:color w:val="000000"/>
          <w:szCs w:val="21"/>
        </w:rPr>
      </w:pPr>
      <w:r>
        <w:rPr>
          <w:rFonts w:hint="eastAsia" w:ascii="宋体" w:hAnsi="宋体"/>
          <w:b/>
          <w:bCs/>
          <w:szCs w:val="21"/>
        </w:rPr>
        <w:t>第七条</w:t>
      </w:r>
      <w:r>
        <w:rPr>
          <w:rFonts w:hint="eastAsia" w:ascii="宋体" w:hAnsi="宋体"/>
          <w:szCs w:val="21"/>
        </w:rPr>
        <w:t xml:space="preserve"> 本附加险合同的保险期间与主险合同保持一致。</w:t>
      </w:r>
    </w:p>
    <w:p>
      <w:pPr>
        <w:pStyle w:val="7"/>
        <w:spacing w:line="360" w:lineRule="auto"/>
        <w:jc w:val="center"/>
        <w:outlineLvl w:val="9"/>
        <w:rPr>
          <w:rStyle w:val="9"/>
          <w:rFonts w:ascii="宋体" w:hAnsi="宋体"/>
          <w:color w:val="000000"/>
          <w:szCs w:val="21"/>
        </w:rPr>
      </w:pPr>
      <w:bookmarkStart w:id="32" w:name="_Toc25431_WPSOffice_Level2"/>
      <w:bookmarkStart w:id="33" w:name="_Toc20533_WPSOffice_Level2"/>
      <w:bookmarkStart w:id="34" w:name="_Toc27195_WPSOffice_Level2"/>
      <w:bookmarkStart w:id="35" w:name="_Toc17585_WPSOffice_Level2"/>
      <w:r>
        <w:rPr>
          <w:rStyle w:val="9"/>
          <w:rFonts w:hint="eastAsia" w:ascii="宋体" w:hAnsi="宋体"/>
          <w:color w:val="000000"/>
          <w:szCs w:val="21"/>
        </w:rPr>
        <w:t>保险金额</w:t>
      </w:r>
      <w:bookmarkEnd w:id="32"/>
      <w:bookmarkEnd w:id="33"/>
      <w:bookmarkEnd w:id="34"/>
      <w:bookmarkEnd w:id="35"/>
    </w:p>
    <w:p>
      <w:pPr>
        <w:pStyle w:val="7"/>
        <w:spacing w:line="360" w:lineRule="auto"/>
        <w:ind w:firstLine="422" w:firstLineChars="200"/>
        <w:outlineLvl w:val="9"/>
        <w:rPr>
          <w:rStyle w:val="9"/>
          <w:rFonts w:ascii="宋体" w:hAnsi="宋体"/>
          <w:b w:val="0"/>
          <w:bCs/>
          <w:color w:val="000000"/>
          <w:szCs w:val="21"/>
        </w:rPr>
      </w:pPr>
      <w:r>
        <w:rPr>
          <w:rStyle w:val="9"/>
          <w:rFonts w:hint="eastAsia" w:ascii="宋体" w:hAnsi="宋体"/>
          <w:color w:val="000000"/>
          <w:szCs w:val="21"/>
        </w:rPr>
        <w:t xml:space="preserve">第八条 </w:t>
      </w:r>
      <w:r>
        <w:rPr>
          <w:rStyle w:val="9"/>
          <w:rFonts w:hint="eastAsia" w:ascii="宋体" w:hAnsi="宋体"/>
          <w:b w:val="0"/>
          <w:bCs/>
          <w:color w:val="000000"/>
          <w:szCs w:val="21"/>
        </w:rPr>
        <w:t>本附加险合同的猝死身故保险金额由投保人和保险人订立本附加险合同时协商确定，并在保险单上载明。</w:t>
      </w:r>
    </w:p>
    <w:p>
      <w:pPr>
        <w:pStyle w:val="7"/>
        <w:spacing w:beforeLines="0" w:after="0" w:afterLines="0" w:line="360" w:lineRule="auto"/>
        <w:jc w:val="center"/>
        <w:outlineLvl w:val="9"/>
        <w:rPr>
          <w:rFonts w:hint="eastAsia" w:ascii="宋体" w:hAnsi="宋体"/>
          <w:szCs w:val="21"/>
        </w:rPr>
      </w:pPr>
      <w:bookmarkStart w:id="36" w:name="_Toc24076_WPSOffice_Level2"/>
      <w:bookmarkStart w:id="37" w:name="_Toc12913_WPSOffice_Level2"/>
      <w:bookmarkStart w:id="38" w:name="_Toc10336_WPSOffice_Level2"/>
      <w:bookmarkStart w:id="39" w:name="_Toc31260_WPSOffice_Level2"/>
      <w:r>
        <w:rPr>
          <w:rFonts w:hint="eastAsia" w:ascii="宋体" w:hAnsi="宋体"/>
          <w:szCs w:val="21"/>
        </w:rPr>
        <w:t>保险金申请与给付</w:t>
      </w:r>
      <w:bookmarkEnd w:id="36"/>
      <w:bookmarkEnd w:id="37"/>
      <w:bookmarkEnd w:id="38"/>
      <w:bookmarkEnd w:id="39"/>
    </w:p>
    <w:p>
      <w:pPr>
        <w:pStyle w:val="8"/>
        <w:numPr>
          <w:ilvl w:val="0"/>
          <w:numId w:val="0"/>
        </w:numPr>
        <w:spacing w:beforeLines="0" w:after="0" w:afterLines="0" w:line="360" w:lineRule="auto"/>
        <w:ind w:left="0" w:leftChars="0" w:firstLine="422" w:firstLineChars="200"/>
        <w:outlineLvl w:val="9"/>
        <w:rPr>
          <w:rFonts w:hint="eastAsia" w:ascii="宋体" w:hAnsi="宋体"/>
          <w:szCs w:val="21"/>
        </w:rPr>
      </w:pPr>
      <w:r>
        <w:rPr>
          <w:rFonts w:hint="eastAsia" w:ascii="宋体" w:hAnsi="宋体"/>
          <w:b/>
          <w:bCs/>
          <w:szCs w:val="21"/>
          <w:lang w:eastAsia="zh-CN"/>
        </w:rPr>
        <w:t>第</w:t>
      </w:r>
      <w:r>
        <w:rPr>
          <w:rFonts w:hint="eastAsia" w:ascii="宋体" w:hAnsi="宋体"/>
          <w:b/>
          <w:bCs/>
          <w:szCs w:val="21"/>
          <w:lang w:val="en-US" w:eastAsia="zh-CN"/>
        </w:rPr>
        <w:t>九</w:t>
      </w:r>
      <w:r>
        <w:rPr>
          <w:rFonts w:hint="eastAsia" w:ascii="宋体" w:hAnsi="宋体"/>
          <w:b/>
          <w:bCs/>
          <w:szCs w:val="21"/>
          <w:lang w:eastAsia="zh-CN"/>
        </w:rPr>
        <w:t>条</w:t>
      </w:r>
      <w:r>
        <w:rPr>
          <w:rFonts w:hint="eastAsia" w:ascii="宋体" w:hAnsi="宋体"/>
          <w:b/>
          <w:bCs/>
          <w:szCs w:val="21"/>
          <w:lang w:val="en-US" w:eastAsia="zh-CN"/>
        </w:rPr>
        <w:t xml:space="preserve"> </w:t>
      </w:r>
      <w:r>
        <w:rPr>
          <w:rFonts w:hint="eastAsia" w:ascii="宋体" w:hAnsi="宋体"/>
          <w:szCs w:val="21"/>
        </w:rPr>
        <w:t>发生本附加险合同规定的保险事故，保险金申请人向保险人申请给付保险金时，除提交主险合同规定的相关材料外，还须提供下列材料：</w:t>
      </w:r>
    </w:p>
    <w:p>
      <w:pPr>
        <w:pStyle w:val="7"/>
        <w:spacing w:beforeLines="0" w:after="0" w:afterLines="0" w:line="360" w:lineRule="auto"/>
        <w:ind w:firstLine="420" w:firstLineChars="200"/>
        <w:jc w:val="left"/>
        <w:outlineLvl w:val="9"/>
        <w:rPr>
          <w:rFonts w:hint="eastAsia" w:ascii="宋体" w:hAnsi="宋体"/>
          <w:b w:val="0"/>
          <w:szCs w:val="21"/>
        </w:rPr>
      </w:pPr>
      <w:r>
        <w:rPr>
          <w:rFonts w:hint="eastAsia" w:ascii="宋体" w:hAnsi="宋体"/>
          <w:b w:val="0"/>
          <w:szCs w:val="21"/>
        </w:rPr>
        <w:t>（</w:t>
      </w:r>
      <w:r>
        <w:rPr>
          <w:rFonts w:hint="eastAsia" w:ascii="宋体" w:hAnsi="宋体"/>
          <w:b w:val="0"/>
          <w:szCs w:val="21"/>
          <w:lang w:eastAsia="zh-CN"/>
        </w:rPr>
        <w:t>一</w:t>
      </w:r>
      <w:r>
        <w:rPr>
          <w:rFonts w:hint="eastAsia" w:ascii="宋体" w:hAnsi="宋体"/>
          <w:b w:val="0"/>
          <w:szCs w:val="21"/>
        </w:rPr>
        <w:t>）保险金申请人的身份证明；</w:t>
      </w:r>
    </w:p>
    <w:p>
      <w:pPr>
        <w:pStyle w:val="7"/>
        <w:spacing w:beforeLines="0" w:after="0" w:afterLines="0" w:line="360" w:lineRule="auto"/>
        <w:ind w:firstLine="420" w:firstLineChars="200"/>
        <w:jc w:val="left"/>
        <w:outlineLvl w:val="9"/>
        <w:rPr>
          <w:rFonts w:hint="eastAsia" w:ascii="宋体" w:hAnsi="宋体"/>
          <w:b w:val="0"/>
          <w:szCs w:val="21"/>
        </w:rPr>
      </w:pPr>
      <w:r>
        <w:rPr>
          <w:rFonts w:hint="eastAsia" w:ascii="宋体" w:hAnsi="宋体"/>
          <w:b w:val="0"/>
          <w:szCs w:val="21"/>
        </w:rPr>
        <w:t>（</w:t>
      </w:r>
      <w:r>
        <w:rPr>
          <w:rFonts w:hint="eastAsia" w:ascii="宋体" w:hAnsi="宋体"/>
          <w:b w:val="0"/>
          <w:szCs w:val="21"/>
          <w:lang w:eastAsia="zh-CN"/>
        </w:rPr>
        <w:t>二</w:t>
      </w:r>
      <w:r>
        <w:rPr>
          <w:rFonts w:hint="eastAsia" w:ascii="宋体" w:hAnsi="宋体"/>
          <w:b w:val="0"/>
          <w:szCs w:val="21"/>
        </w:rPr>
        <w:t>）公安部门或司法部门、二级以上（含二级）医院或保险人认可的医疗机构出具的被保险人死亡证明或验尸报告。若被保险人为宣告死亡，保险金申请人应提供人民法院出具的宣告死亡证明文件；</w:t>
      </w:r>
    </w:p>
    <w:p>
      <w:pPr>
        <w:pStyle w:val="7"/>
        <w:spacing w:beforeLines="0" w:after="0" w:afterLines="0" w:line="360" w:lineRule="auto"/>
        <w:ind w:firstLine="420" w:firstLineChars="200"/>
        <w:jc w:val="left"/>
        <w:outlineLvl w:val="9"/>
        <w:rPr>
          <w:rFonts w:hint="eastAsia" w:ascii="宋体" w:hAnsi="宋体"/>
          <w:b w:val="0"/>
          <w:szCs w:val="21"/>
        </w:rPr>
      </w:pPr>
      <w:r>
        <w:rPr>
          <w:rFonts w:hint="eastAsia" w:ascii="宋体" w:hAnsi="宋体"/>
          <w:b w:val="0"/>
          <w:szCs w:val="21"/>
        </w:rPr>
        <w:t>（</w:t>
      </w:r>
      <w:r>
        <w:rPr>
          <w:rFonts w:hint="eastAsia" w:ascii="宋体" w:hAnsi="宋体"/>
          <w:b w:val="0"/>
          <w:szCs w:val="21"/>
          <w:lang w:eastAsia="zh-CN"/>
        </w:rPr>
        <w:t>三</w:t>
      </w:r>
      <w:r>
        <w:rPr>
          <w:rFonts w:hint="eastAsia" w:ascii="宋体" w:hAnsi="宋体"/>
          <w:b w:val="0"/>
          <w:szCs w:val="21"/>
        </w:rPr>
        <w:t>）被保险人的户籍注销证明。</w:t>
      </w:r>
    </w:p>
    <w:p>
      <w:pPr>
        <w:pStyle w:val="7"/>
        <w:spacing w:beforeLines="0" w:after="0" w:afterLines="0" w:line="360" w:lineRule="auto"/>
        <w:jc w:val="center"/>
        <w:outlineLvl w:val="9"/>
        <w:rPr>
          <w:rFonts w:hint="eastAsia" w:ascii="宋体" w:hAnsi="宋体"/>
          <w:szCs w:val="21"/>
        </w:rPr>
      </w:pPr>
      <w:bookmarkStart w:id="40" w:name="_Toc12699_WPSOffice_Level2"/>
      <w:bookmarkStart w:id="41" w:name="_Toc6023_WPSOffice_Level2"/>
      <w:bookmarkStart w:id="42" w:name="_Toc17192_WPSOffice_Level2"/>
      <w:bookmarkStart w:id="43" w:name="_Toc8616_WPSOffice_Level2"/>
      <w:r>
        <w:rPr>
          <w:rFonts w:hint="eastAsia" w:ascii="宋体" w:hAnsi="宋体"/>
          <w:szCs w:val="21"/>
        </w:rPr>
        <w:t>释义</w:t>
      </w:r>
      <w:bookmarkEnd w:id="40"/>
      <w:bookmarkEnd w:id="41"/>
      <w:bookmarkEnd w:id="42"/>
      <w:bookmarkEnd w:id="43"/>
    </w:p>
    <w:p>
      <w:pPr>
        <w:numPr>
          <w:ilvl w:val="0"/>
          <w:numId w:val="0"/>
        </w:numPr>
        <w:adjustRightInd w:val="0"/>
        <w:snapToGrid w:val="0"/>
        <w:spacing w:beforeLines="0" w:after="0" w:afterLines="0" w:line="360" w:lineRule="auto"/>
        <w:ind w:left="0" w:firstLine="422" w:firstLineChars="200"/>
        <w:outlineLvl w:val="9"/>
        <w:rPr>
          <w:rFonts w:hint="eastAsia" w:ascii="宋体" w:hAnsi="宋体"/>
          <w:b/>
          <w:color w:val="000000"/>
          <w:szCs w:val="21"/>
        </w:rPr>
      </w:pPr>
      <w:r>
        <w:rPr>
          <w:rFonts w:hint="eastAsia" w:ascii="宋体" w:hAnsi="宋体"/>
          <w:b/>
          <w:szCs w:val="21"/>
          <w:lang w:eastAsia="zh-CN"/>
        </w:rPr>
        <w:t>猝死</w:t>
      </w:r>
      <w:r>
        <w:rPr>
          <w:rFonts w:hint="eastAsia" w:ascii="宋体" w:hAnsi="宋体"/>
          <w:b/>
          <w:szCs w:val="21"/>
        </w:rPr>
        <w:t>：</w:t>
      </w:r>
      <w:r>
        <w:rPr>
          <w:rFonts w:hint="eastAsia" w:ascii="宋体" w:hAnsi="宋体"/>
          <w:b w:val="0"/>
          <w:bCs/>
          <w:szCs w:val="21"/>
        </w:rPr>
        <w:t>指</w:t>
      </w:r>
      <w:r>
        <w:rPr>
          <w:rFonts w:hint="eastAsia" w:ascii="宋体" w:hAnsi="宋体"/>
          <w:b w:val="0"/>
          <w:bCs/>
          <w:color w:val="000000"/>
          <w:szCs w:val="21"/>
        </w:rPr>
        <w:t>投保前被保险人未曾接受治疗或者诊断、</w:t>
      </w:r>
      <w:r>
        <w:rPr>
          <w:rFonts w:hint="eastAsia" w:ascii="宋体" w:hAnsi="宋体"/>
          <w:b w:val="0"/>
          <w:bCs/>
          <w:color w:val="000000"/>
          <w:szCs w:val="21"/>
          <w:lang w:eastAsia="zh-CN"/>
        </w:rPr>
        <w:t>表面健康的人，</w:t>
      </w:r>
      <w:r>
        <w:rPr>
          <w:rFonts w:hint="eastAsia" w:ascii="宋体" w:hAnsi="宋体"/>
          <w:b w:val="0"/>
          <w:bCs/>
          <w:color w:val="000000"/>
          <w:szCs w:val="21"/>
        </w:rPr>
        <w:t>在保险期间</w:t>
      </w:r>
      <w:r>
        <w:rPr>
          <w:rFonts w:hint="eastAsia" w:ascii="宋体" w:hAnsi="宋体"/>
          <w:b w:val="0"/>
          <w:bCs/>
          <w:color w:val="000000"/>
          <w:szCs w:val="21"/>
          <w:lang w:eastAsia="zh-CN"/>
        </w:rPr>
        <w:t>因潜在疾病、机能障碍或其他原因在出现症状后短时间内（除合同另有约定外，短时间指自出现症状后</w:t>
      </w:r>
      <w:r>
        <w:rPr>
          <w:rFonts w:hint="eastAsia" w:ascii="宋体" w:hAnsi="宋体"/>
          <w:b w:val="0"/>
          <w:bCs/>
          <w:color w:val="000000"/>
          <w:szCs w:val="21"/>
          <w:lang w:val="en-US" w:eastAsia="zh-CN"/>
        </w:rPr>
        <w:t>24小时内</w:t>
      </w:r>
      <w:r>
        <w:rPr>
          <w:rFonts w:hint="eastAsia" w:ascii="宋体" w:hAnsi="宋体"/>
          <w:b w:val="0"/>
          <w:bCs/>
          <w:color w:val="000000"/>
          <w:szCs w:val="21"/>
          <w:lang w:eastAsia="zh-CN"/>
        </w:rPr>
        <w:t>）发生的非暴力性突然死亡，同时须提供医院的诊断材料或公安部门的鉴定证明作为认定依据。</w:t>
      </w:r>
    </w:p>
    <w:p>
      <w:pPr>
        <w:numPr>
          <w:ilvl w:val="0"/>
          <w:numId w:val="0"/>
        </w:numPr>
        <w:adjustRightInd w:val="0"/>
        <w:snapToGrid w:val="0"/>
        <w:spacing w:beforeLines="0" w:after="0" w:afterLines="0" w:line="360" w:lineRule="auto"/>
        <w:ind w:left="0" w:firstLine="422" w:firstLineChars="200"/>
        <w:outlineLvl w:val="9"/>
        <w:rPr>
          <w:rFonts w:ascii="宋体" w:hAnsi="宋体"/>
          <w:szCs w:val="21"/>
        </w:rPr>
      </w:pPr>
      <w:r>
        <w:rPr>
          <w:rFonts w:hint="eastAsia" w:ascii="宋体" w:hAnsi="宋体"/>
          <w:b/>
          <w:szCs w:val="21"/>
        </w:rPr>
        <w:t>职业病：</w:t>
      </w:r>
      <w:r>
        <w:rPr>
          <w:rFonts w:hint="eastAsia" w:ascii="宋体" w:hAnsi="宋体"/>
          <w:szCs w:val="21"/>
        </w:rPr>
        <w:t>在生产环境或劳动过程中，一种或几种对健康有害的因素引起的疾病。职业病范围以国家正式颁布的种类为准。</w:t>
      </w:r>
    </w:p>
    <w:p>
      <w:pPr>
        <w:numPr>
          <w:ilvl w:val="0"/>
          <w:numId w:val="0"/>
        </w:numPr>
        <w:adjustRightInd w:val="0"/>
        <w:snapToGrid w:val="0"/>
        <w:spacing w:beforeLines="0" w:after="0" w:afterLines="0" w:line="360" w:lineRule="auto"/>
        <w:ind w:left="0" w:firstLine="422" w:firstLineChars="200"/>
        <w:outlineLvl w:val="9"/>
        <w:rPr>
          <w:rFonts w:hint="eastAsia" w:ascii="宋体" w:hAnsi="宋体"/>
          <w:szCs w:val="21"/>
        </w:rPr>
      </w:pPr>
      <w:r>
        <w:rPr>
          <w:rFonts w:hint="eastAsia" w:ascii="宋体" w:hAnsi="宋体"/>
          <w:b/>
          <w:szCs w:val="21"/>
        </w:rPr>
        <w:t>先天性疾病：</w:t>
      </w:r>
      <w:r>
        <w:rPr>
          <w:rFonts w:hint="eastAsia" w:ascii="宋体" w:hAnsi="宋体"/>
          <w:szCs w:val="21"/>
        </w:rPr>
        <w:t>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numPr>
          <w:ilvl w:val="0"/>
          <w:numId w:val="0"/>
        </w:numPr>
        <w:adjustRightInd w:val="0"/>
        <w:snapToGrid w:val="0"/>
        <w:spacing w:beforeLines="0" w:after="0" w:afterLines="0" w:line="360" w:lineRule="auto"/>
        <w:ind w:left="0" w:firstLine="422" w:firstLineChars="200"/>
        <w:outlineLvl w:val="9"/>
        <w:rPr>
          <w:rFonts w:hint="eastAsia" w:ascii="宋体" w:hAnsi="宋体" w:cs="Arial"/>
          <w:szCs w:val="21"/>
        </w:rPr>
      </w:pPr>
      <w:r>
        <w:rPr>
          <w:rFonts w:ascii="宋体" w:hAnsi="宋体"/>
          <w:b/>
          <w:szCs w:val="21"/>
        </w:rPr>
        <w:t>遗传性疾病</w:t>
      </w:r>
      <w:r>
        <w:rPr>
          <w:rFonts w:hint="eastAsia" w:ascii="宋体" w:hAnsi="宋体"/>
          <w:b/>
          <w:szCs w:val="21"/>
        </w:rPr>
        <w:t>：</w:t>
      </w:r>
      <w:r>
        <w:rPr>
          <w:rFonts w:ascii="宋体" w:hAnsi="宋体" w:cs="Arial"/>
          <w:szCs w:val="21"/>
        </w:rPr>
        <w:t>指生殖细胞或受精卵的遗传物质（染色体和基因）发生突变或畸变所引起的疾病，通常具有由亲代传至后代的垂直传递的特征。</w:t>
      </w:r>
    </w:p>
    <w:p>
      <w:pPr>
        <w:numPr>
          <w:ilvl w:val="0"/>
          <w:numId w:val="0"/>
        </w:numPr>
        <w:adjustRightInd w:val="0"/>
        <w:snapToGrid w:val="0"/>
        <w:spacing w:beforeLines="0" w:after="0" w:afterLines="0" w:line="360" w:lineRule="auto"/>
        <w:ind w:left="0" w:firstLine="422" w:firstLineChars="200"/>
        <w:outlineLvl w:val="9"/>
        <w:rPr>
          <w:rFonts w:hint="eastAsia" w:ascii="宋体" w:hAnsi="宋体"/>
          <w:szCs w:val="21"/>
        </w:rPr>
      </w:pPr>
      <w:r>
        <w:rPr>
          <w:rFonts w:hint="eastAsia" w:ascii="宋体" w:hAnsi="宋体"/>
          <w:b/>
          <w:szCs w:val="21"/>
        </w:rPr>
        <w:t>特定传染病</w:t>
      </w:r>
      <w:r>
        <w:rPr>
          <w:rFonts w:hint="eastAsia" w:ascii="宋体" w:hAnsi="宋体"/>
          <w:b/>
          <w:szCs w:val="21"/>
          <w:lang w:eastAsia="zh-CN"/>
        </w:rPr>
        <w:t>：</w:t>
      </w:r>
      <w:r>
        <w:rPr>
          <w:rFonts w:hint="eastAsia" w:ascii="宋体" w:hAnsi="宋体"/>
          <w:szCs w:val="21"/>
        </w:rPr>
        <w:t>根据中华人民共和国相关法律规定的法定传染病甲类和乙类发生暴发流行疫情的情况，相关法律发生调整，则本定义作相应调整。</w:t>
      </w:r>
    </w:p>
    <w:p>
      <w:pPr>
        <w:adjustRightInd w:val="0"/>
        <w:snapToGrid w:val="0"/>
        <w:spacing w:beforeLines="0" w:after="0" w:afterLines="0" w:line="360" w:lineRule="auto"/>
        <w:ind w:firstLine="420" w:firstLineChars="200"/>
        <w:outlineLvl w:val="9"/>
        <w:rPr>
          <w:rFonts w:hint="eastAsia" w:ascii="宋体" w:hAnsi="宋体"/>
          <w:szCs w:val="21"/>
        </w:rPr>
      </w:pPr>
      <w:r>
        <w:rPr>
          <w:rFonts w:hint="eastAsia" w:ascii="宋体" w:hAnsi="宋体"/>
          <w:szCs w:val="21"/>
        </w:rPr>
        <w:t>甲类：鼠疫、霍乱。</w:t>
      </w:r>
    </w:p>
    <w:p>
      <w:pPr>
        <w:adjustRightInd w:val="0"/>
        <w:snapToGrid w:val="0"/>
        <w:spacing w:beforeLines="0" w:after="0" w:afterLines="0" w:line="360" w:lineRule="auto"/>
        <w:ind w:firstLine="420" w:firstLineChars="200"/>
        <w:outlineLvl w:val="9"/>
        <w:rPr>
          <w:rFonts w:hint="eastAsia" w:ascii="宋体" w:hAnsi="宋体"/>
          <w:szCs w:val="21"/>
        </w:rPr>
      </w:pPr>
      <w:r>
        <w:rPr>
          <w:rFonts w:hint="eastAsia" w:ascii="宋体" w:hAnsi="宋体"/>
          <w:szCs w:val="21"/>
        </w:rPr>
        <w:t>乙类：传染性非典型肺炎、甲型H1N1流感[1]、艾滋病、病毒性肝炎、脊髓灰质炎、人感染高致病性禽流感、麻疹、流行性出血热、狂犬病、流行性乙型脑炎、登革热、炭疽、细菌性和阿米巴性痢疾、肺结核、伤寒和副伤寒、流行性脑脊髓膜炎、百日咳、白喉、新生儿破伤风、猩红热、布鲁氏菌病、淋病、梅毒、钩端螺旋体病、血吸虫病、疟疾、甲型H1N1流感（原称人感染猪流感）。。</w:t>
      </w:r>
    </w:p>
    <w:p>
      <w:pPr>
        <w:numPr>
          <w:ilvl w:val="0"/>
          <w:numId w:val="0"/>
        </w:numPr>
        <w:adjustRightInd w:val="0"/>
        <w:snapToGrid w:val="0"/>
        <w:spacing w:beforeLines="0" w:after="0" w:afterLines="0" w:line="360" w:lineRule="auto"/>
        <w:ind w:left="0" w:firstLine="422" w:firstLineChars="200"/>
        <w:outlineLvl w:val="9"/>
        <w:rPr>
          <w:rFonts w:hint="eastAsia" w:ascii="宋体" w:hAnsi="宋体"/>
          <w:szCs w:val="21"/>
        </w:rPr>
      </w:pPr>
      <w:r>
        <w:rPr>
          <w:rFonts w:hint="eastAsia" w:ascii="宋体" w:hAnsi="宋体"/>
          <w:b/>
          <w:szCs w:val="21"/>
        </w:rPr>
        <w:t>地方病</w:t>
      </w:r>
      <w:r>
        <w:rPr>
          <w:rFonts w:hint="eastAsia" w:ascii="宋体" w:hAnsi="宋体"/>
          <w:b/>
          <w:szCs w:val="21"/>
          <w:lang w:eastAsia="zh-CN"/>
        </w:rPr>
        <w:t>：</w:t>
      </w:r>
      <w:r>
        <w:rPr>
          <w:rFonts w:hint="eastAsia" w:ascii="宋体" w:hAnsi="宋体"/>
          <w:szCs w:val="21"/>
        </w:rPr>
        <w:t>在一定地区或人群中发生的疾病。新病例来自本地。与地方的地质、地貌、水土、气候等因素密切相关，并在条件类似的地区蔓延流行。以当地地方病防治机构的公布为准。</w:t>
      </w:r>
    </w:p>
    <w:p>
      <w:pPr>
        <w:numPr>
          <w:ilvl w:val="0"/>
          <w:numId w:val="0"/>
        </w:numPr>
        <w:adjustRightInd w:val="0"/>
        <w:snapToGrid w:val="0"/>
        <w:spacing w:beforeLines="0" w:after="0" w:afterLines="0" w:line="360" w:lineRule="auto"/>
        <w:ind w:left="0" w:firstLine="422" w:firstLineChars="200"/>
        <w:outlineLvl w:val="9"/>
        <w:rPr>
          <w:rFonts w:hint="eastAsia" w:ascii="宋体" w:hAnsi="宋体"/>
          <w:szCs w:val="21"/>
        </w:rPr>
      </w:pPr>
      <w:r>
        <w:rPr>
          <w:rFonts w:hint="eastAsia" w:ascii="宋体" w:hAnsi="宋体"/>
          <w:b/>
          <w:szCs w:val="21"/>
        </w:rPr>
        <w:t>性病</w:t>
      </w:r>
      <w:r>
        <w:rPr>
          <w:rFonts w:hint="eastAsia" w:ascii="宋体" w:hAnsi="宋体"/>
          <w:b/>
          <w:szCs w:val="21"/>
          <w:lang w:eastAsia="zh-CN"/>
        </w:rPr>
        <w:t>：</w:t>
      </w:r>
      <w:r>
        <w:rPr>
          <w:rFonts w:hint="eastAsia" w:ascii="宋体" w:hAnsi="宋体"/>
          <w:szCs w:val="21"/>
        </w:rPr>
        <w:t>全名性传播疾病（STD），是以性接触为主要传播方式的一组疾病。国家卫生部制定的《性病防治管理办法》中所指定的性病为8种，即艾滋病、淋病、梅毒、软下疳、性病性淋巴肉芽肿、非淋菌性尿道炎、尖锐湿疣、生殖器疱疹。</w:t>
      </w:r>
    </w:p>
    <w:p>
      <w:pPr>
        <w:numPr>
          <w:ilvl w:val="0"/>
          <w:numId w:val="0"/>
        </w:numPr>
        <w:adjustRightInd w:val="0"/>
        <w:snapToGrid w:val="0"/>
        <w:spacing w:beforeLines="0" w:after="0" w:afterLines="0" w:line="360" w:lineRule="auto"/>
        <w:ind w:left="0" w:firstLine="422" w:firstLineChars="200"/>
        <w:outlineLvl w:val="9"/>
        <w:rPr>
          <w:rFonts w:hint="eastAsia" w:ascii="宋体" w:hAnsi="宋体"/>
          <w:szCs w:val="21"/>
        </w:rPr>
      </w:pPr>
      <w:r>
        <w:rPr>
          <w:rFonts w:hint="eastAsia" w:ascii="宋体" w:hAnsi="宋体"/>
          <w:b/>
          <w:szCs w:val="21"/>
        </w:rPr>
        <w:t>投保前罹患的疾病</w:t>
      </w:r>
      <w:r>
        <w:rPr>
          <w:rFonts w:hint="eastAsia" w:ascii="宋体" w:hAnsi="宋体"/>
          <w:b/>
          <w:szCs w:val="21"/>
          <w:lang w:eastAsia="zh-CN"/>
        </w:rPr>
        <w:t>：</w:t>
      </w:r>
      <w:r>
        <w:rPr>
          <w:rFonts w:hint="eastAsia" w:ascii="宋体" w:hAnsi="宋体"/>
          <w:szCs w:val="21"/>
        </w:rPr>
        <w:t>是指被保险人在保险期间开始之日前或在本保险合同约定的等待期内患有的其已知或应该知道的疾病。</w:t>
      </w:r>
    </w:p>
    <w:p>
      <w:pPr>
        <w:pStyle w:val="8"/>
        <w:spacing w:beforeLines="0" w:after="0" w:afterLines="0" w:line="360" w:lineRule="auto"/>
        <w:ind w:left="0" w:leftChars="0" w:firstLine="422"/>
        <w:outlineLvl w:val="9"/>
        <w:rPr>
          <w:rFonts w:hint="eastAsia" w:ascii="宋体" w:hAnsi="宋体"/>
          <w:b/>
          <w:bCs/>
          <w:szCs w:val="21"/>
        </w:rPr>
      </w:pPr>
      <w:r>
        <w:rPr>
          <w:rFonts w:hint="eastAsia" w:ascii="宋体" w:hAnsi="宋体"/>
          <w:b/>
          <w:bCs/>
          <w:szCs w:val="21"/>
        </w:rPr>
        <w:t>本附加</w:t>
      </w:r>
      <w:r>
        <w:rPr>
          <w:rFonts w:hint="eastAsia" w:ascii="宋体" w:hAnsi="宋体"/>
          <w:b/>
          <w:bCs/>
          <w:szCs w:val="21"/>
          <w:lang w:val="en-US" w:eastAsia="zh-CN"/>
        </w:rPr>
        <w:t>险合同</w:t>
      </w:r>
      <w:r>
        <w:rPr>
          <w:rFonts w:hint="eastAsia" w:ascii="宋体" w:hAnsi="宋体"/>
          <w:b/>
          <w:bCs/>
          <w:szCs w:val="21"/>
        </w:rPr>
        <w:t>的未解释名词，均以主险</w:t>
      </w:r>
      <w:r>
        <w:rPr>
          <w:rFonts w:hint="eastAsia" w:ascii="宋体" w:hAnsi="宋体"/>
          <w:b/>
          <w:bCs/>
          <w:szCs w:val="21"/>
          <w:lang w:val="en-US" w:eastAsia="zh-CN"/>
        </w:rPr>
        <w:t>合同</w:t>
      </w:r>
      <w:r>
        <w:rPr>
          <w:rFonts w:hint="eastAsia" w:ascii="宋体" w:hAnsi="宋体"/>
          <w:b/>
          <w:bCs/>
          <w:szCs w:val="21"/>
        </w:rPr>
        <w:t>的名词解</w:t>
      </w:r>
      <w:r>
        <w:rPr>
          <w:rFonts w:ascii="宋体" w:hAnsi="宋体"/>
          <w:b/>
          <w:bCs/>
          <w:szCs w:val="21"/>
        </w:rPr>
        <w:t>释</w:t>
      </w:r>
      <w:r>
        <w:rPr>
          <w:rFonts w:hint="eastAsia" w:ascii="宋体" w:hAnsi="宋体"/>
          <w:b/>
          <w:bCs/>
          <w:szCs w:val="21"/>
        </w:rPr>
        <w:t>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52F47"/>
    <w:rsid w:val="34D52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kern w:val="2"/>
      <w:sz w:val="21"/>
      <w:szCs w:val="24"/>
    </w:rPr>
  </w:style>
  <w:style w:type="paragraph" w:styleId="3">
    <w:name w:val="Document Map"/>
    <w:basedOn w:val="1"/>
    <w:qFormat/>
    <w:uiPriority w:val="0"/>
    <w:rPr>
      <w:rFonts w:ascii="宋体"/>
      <w:sz w:val="18"/>
      <w:szCs w:val="18"/>
    </w:rPr>
  </w:style>
  <w:style w:type="paragraph" w:styleId="4">
    <w:name w:val="Title"/>
    <w:basedOn w:val="1"/>
    <w:next w:val="1"/>
    <w:qFormat/>
    <w:uiPriority w:val="0"/>
    <w:pPr>
      <w:spacing w:before="240" w:beforeLines="0" w:after="60" w:afterLines="0" w:line="276" w:lineRule="auto"/>
      <w:jc w:val="center"/>
      <w:outlineLvl w:val="0"/>
    </w:pPr>
    <w:rPr>
      <w:rFonts w:ascii="仿宋" w:hAnsi="仿宋" w:eastAsia="宋体" w:cs="宋体"/>
      <w:b/>
      <w:bCs/>
      <w:kern w:val="28"/>
      <w:sz w:val="32"/>
      <w:szCs w:val="32"/>
    </w:rPr>
  </w:style>
  <w:style w:type="paragraph" w:customStyle="1" w:styleId="7">
    <w:name w:val="条款标题"/>
    <w:basedOn w:val="8"/>
    <w:qFormat/>
    <w:uiPriority w:val="0"/>
    <w:pPr>
      <w:tabs>
        <w:tab w:val="left" w:pos="840"/>
      </w:tabs>
      <w:ind w:left="0" w:leftChars="0" w:firstLine="0" w:firstLineChars="0"/>
    </w:pPr>
    <w:rPr>
      <w:b/>
    </w:rPr>
  </w:style>
  <w:style w:type="paragraph" w:customStyle="1" w:styleId="8">
    <w:name w:val="条款正文"/>
    <w:basedOn w:val="1"/>
    <w:qFormat/>
    <w:uiPriority w:val="0"/>
    <w:pPr>
      <w:adjustRightInd w:val="0"/>
      <w:snapToGrid w:val="0"/>
      <w:ind w:left="840" w:leftChars="400" w:firstLine="420" w:firstLineChars="200"/>
    </w:pPr>
  </w:style>
  <w:style w:type="character" w:customStyle="1" w:styleId="9">
    <w:name w:val="apple-style-span"/>
    <w:basedOn w:val="6"/>
    <w:qFormat/>
    <w:uiPriority w:val="0"/>
  </w:style>
  <w:style w:type="paragraph" w:customStyle="1" w:styleId="10">
    <w:name w:val=" Char Char Char 字元 Char Char Char Char Char Char Char Char Char"/>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2023-07-18T09:27:00Z</dcterms:created>
  <dc:creator>zhongting_kzx</dc:creator>
  <cp:lastModifiedBy>zhongting_kzx</cp:lastModifiedBy>
  <dcterms:modified xsi:type="dcterms:W3CDTF">2023-07-18T09:28:34Z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24A69AB4D5DB4F65BF21684ED8B43C20</vt:lpwstr>
  </property>
</Properties>
</file>